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156" w:rsidRPr="001E67A2" w:rsidRDefault="00C70156" w:rsidP="00C7015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:rsidR="00C70156" w:rsidRPr="001E67A2" w:rsidRDefault="00C70156" w:rsidP="00C7015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C70156" w:rsidRPr="001E67A2" w:rsidRDefault="00C70156" w:rsidP="00C70156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:rsidR="00C70156" w:rsidRPr="001E67A2" w:rsidRDefault="00C70156" w:rsidP="00C70156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C70156" w:rsidRPr="001E67A2" w:rsidRDefault="00C70156" w:rsidP="00C7015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C70156" w:rsidRPr="001E67A2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70156" w:rsidRPr="001E67A2" w:rsidRDefault="00C70156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C70156" w:rsidRPr="001E67A2" w:rsidRDefault="00C70156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McMillan LLP</w:t>
            </w:r>
          </w:p>
        </w:tc>
      </w:tr>
    </w:tbl>
    <w:p w:rsidR="00C70156" w:rsidRPr="001E67A2" w:rsidRDefault="00C70156" w:rsidP="00C7015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C70156" w:rsidRPr="001E67A2" w:rsidRDefault="00C70156" w:rsidP="00C70156">
      <w:pPr>
        <w:rPr>
          <w:rFonts w:ascii="Calibri Light" w:hAnsi="Calibri Light"/>
        </w:rPr>
      </w:pPr>
      <w:bookmarkStart w:id="0" w:name="_Hlk508002320"/>
    </w:p>
    <w:p w:rsidR="00C70156" w:rsidRPr="001E67A2" w:rsidRDefault="00C70156" w:rsidP="00C70156">
      <w:pPr>
        <w:rPr>
          <w:rFonts w:ascii="Calibri Light" w:hAnsi="Calibri Light"/>
          <w:u w:val="single"/>
        </w:rPr>
      </w:pP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  <w:u w:val="single"/>
        </w:rPr>
        <w:t>Merger Date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McMillan </w:t>
      </w:r>
      <w:proofErr w:type="spellStart"/>
      <w:r w:rsidRPr="001E67A2">
        <w:rPr>
          <w:rFonts w:ascii="Calibri Light" w:hAnsi="Calibri Light"/>
        </w:rPr>
        <w:t>Binch</w:t>
      </w:r>
      <w:proofErr w:type="spellEnd"/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McMillan </w:t>
      </w:r>
      <w:proofErr w:type="spellStart"/>
      <w:r w:rsidRPr="001E67A2">
        <w:rPr>
          <w:rFonts w:ascii="Calibri Light" w:hAnsi="Calibri Light"/>
        </w:rPr>
        <w:t>Binch</w:t>
      </w:r>
      <w:proofErr w:type="spellEnd"/>
      <w:r w:rsidRPr="001E67A2">
        <w:rPr>
          <w:rFonts w:ascii="Calibri Light" w:hAnsi="Calibri Light"/>
        </w:rPr>
        <w:t xml:space="preserve"> LLP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Mendelsohn </w:t>
      </w:r>
      <w:proofErr w:type="spellStart"/>
      <w:r w:rsidRPr="001E67A2">
        <w:rPr>
          <w:rFonts w:ascii="Calibri Light" w:hAnsi="Calibri Light"/>
        </w:rPr>
        <w:t>s.e.n.c</w:t>
      </w:r>
      <w:proofErr w:type="spellEnd"/>
      <w:r w:rsidRPr="001E67A2">
        <w:rPr>
          <w:rFonts w:ascii="Calibri Light" w:hAnsi="Calibri Light"/>
        </w:rPr>
        <w:t>.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May 1, 2005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McMillan </w:t>
      </w:r>
      <w:proofErr w:type="spellStart"/>
      <w:r w:rsidRPr="001E67A2">
        <w:rPr>
          <w:rFonts w:ascii="Calibri Light" w:hAnsi="Calibri Light"/>
        </w:rPr>
        <w:t>Binch</w:t>
      </w:r>
      <w:proofErr w:type="spellEnd"/>
      <w:r w:rsidRPr="001E67A2">
        <w:rPr>
          <w:rFonts w:ascii="Calibri Light" w:hAnsi="Calibri Light"/>
        </w:rPr>
        <w:t xml:space="preserve"> Mendelsohn LLP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Thackray</w:t>
      </w:r>
      <w:proofErr w:type="spellEnd"/>
      <w:r w:rsidRPr="001E67A2">
        <w:rPr>
          <w:rFonts w:ascii="Calibri Light" w:hAnsi="Calibri Light"/>
        </w:rPr>
        <w:t xml:space="preserve"> Burgess Professional Corporation (TB) *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May 1, 2009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Blanie</w:t>
      </w:r>
      <w:proofErr w:type="spellEnd"/>
      <w:r w:rsidRPr="001E67A2">
        <w:rPr>
          <w:rFonts w:ascii="Calibri Light" w:hAnsi="Calibri Light"/>
        </w:rPr>
        <w:t xml:space="preserve"> &amp; Company (predecessor firm of TB)</w:t>
      </w:r>
    </w:p>
    <w:p w:rsidR="00C70156" w:rsidRPr="001E67A2" w:rsidRDefault="00C70156" w:rsidP="00C70156">
      <w:pPr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Evans </w:t>
      </w:r>
      <w:proofErr w:type="spellStart"/>
      <w:r w:rsidRPr="001E67A2">
        <w:rPr>
          <w:rFonts w:ascii="Calibri Light" w:hAnsi="Calibri Light"/>
        </w:rPr>
        <w:t>Higa</w:t>
      </w:r>
      <w:proofErr w:type="spellEnd"/>
      <w:r w:rsidRPr="001E67A2">
        <w:rPr>
          <w:rFonts w:ascii="Calibri Light" w:hAnsi="Calibri Light"/>
        </w:rPr>
        <w:t xml:space="preserve"> Burgess (predecessor firm of TB)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Lang Michener LLP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January 1, 2011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Lang Michener (changed to LLP in October 2003)</w:t>
      </w:r>
    </w:p>
    <w:p w:rsidR="00C70156" w:rsidRPr="001E67A2" w:rsidRDefault="00C70156" w:rsidP="00C70156">
      <w:pPr>
        <w:tabs>
          <w:tab w:val="left" w:pos="5220"/>
        </w:tabs>
        <w:rPr>
          <w:rFonts w:ascii="Calibri Light" w:hAnsi="Calibri Light"/>
        </w:rPr>
      </w:pPr>
      <w:r w:rsidRPr="001E67A2">
        <w:rPr>
          <w:rFonts w:ascii="Calibri Light" w:hAnsi="Calibri Light"/>
        </w:rPr>
        <w:t>Lang Michener Lawrence &amp; Shaw</w:t>
      </w:r>
    </w:p>
    <w:p w:rsidR="00C70156" w:rsidRPr="001E67A2" w:rsidRDefault="00C70156" w:rsidP="00C70156">
      <w:pPr>
        <w:tabs>
          <w:tab w:val="num" w:pos="360"/>
          <w:tab w:val="left" w:pos="5220"/>
        </w:tabs>
        <w:rPr>
          <w:rFonts w:ascii="Calibri Light" w:hAnsi="Calibri Light"/>
        </w:rPr>
      </w:pPr>
      <w:r w:rsidRPr="001E67A2">
        <w:rPr>
          <w:rFonts w:ascii="Calibri Light" w:hAnsi="Calibri Light"/>
        </w:rPr>
        <w:t>(Lang Michener’s former name in Toronto,</w:t>
      </w:r>
    </w:p>
    <w:p w:rsidR="00C70156" w:rsidRPr="001E67A2" w:rsidRDefault="00C70156" w:rsidP="00C70156">
      <w:pPr>
        <w:tabs>
          <w:tab w:val="num" w:pos="360"/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Mississauga and Western Canada)</w:t>
      </w:r>
    </w:p>
    <w:p w:rsidR="00C70156" w:rsidRPr="001E67A2" w:rsidRDefault="00C70156" w:rsidP="00C70156">
      <w:pPr>
        <w:tabs>
          <w:tab w:val="left" w:pos="5220"/>
        </w:tabs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Lang Michener Honeywell </w:t>
      </w:r>
      <w:proofErr w:type="spellStart"/>
      <w:r w:rsidRPr="001E67A2">
        <w:rPr>
          <w:rFonts w:ascii="Calibri Light" w:hAnsi="Calibri Light"/>
        </w:rPr>
        <w:t>Wotherspoon</w:t>
      </w:r>
      <w:proofErr w:type="spellEnd"/>
    </w:p>
    <w:p w:rsidR="00C70156" w:rsidRPr="001E67A2" w:rsidRDefault="00C70156" w:rsidP="00C70156">
      <w:pPr>
        <w:tabs>
          <w:tab w:val="num" w:pos="360"/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(Lang Michener’s former name in Ottawa)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Lang Michener Lash Johnston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Smith, Shaver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Honeywell, </w:t>
      </w:r>
      <w:proofErr w:type="spellStart"/>
      <w:r w:rsidRPr="001E67A2">
        <w:rPr>
          <w:rFonts w:ascii="Calibri Light" w:hAnsi="Calibri Light"/>
        </w:rPr>
        <w:t>Wotherspoon</w:t>
      </w:r>
      <w:proofErr w:type="spellEnd"/>
      <w:r w:rsidRPr="001E67A2">
        <w:rPr>
          <w:rFonts w:ascii="Calibri Light" w:hAnsi="Calibri Light"/>
        </w:rPr>
        <w:t xml:space="preserve"> (Ottawa)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April 1, 1990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Lawrence &amp; Shaw (Vancouver)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June 7, 1989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Lash, Johnston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1986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>Lang Michener Cranston Farquharson &amp; Wright</w:t>
      </w:r>
    </w:p>
    <w:p w:rsidR="00C70156" w:rsidRPr="001E67A2" w:rsidRDefault="00C70156" w:rsidP="00C70156">
      <w:pPr>
        <w:tabs>
          <w:tab w:val="left" w:pos="5220"/>
        </w:tabs>
        <w:spacing w:after="120"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Robertson Ward </w:t>
      </w:r>
      <w:proofErr w:type="spellStart"/>
      <w:r w:rsidRPr="001E67A2">
        <w:rPr>
          <w:rFonts w:ascii="Calibri Light" w:hAnsi="Calibri Light"/>
        </w:rPr>
        <w:t>Suderman</w:t>
      </w:r>
      <w:proofErr w:type="spellEnd"/>
      <w:r w:rsidRPr="001E67A2">
        <w:rPr>
          <w:rFonts w:ascii="Calibri Light" w:hAnsi="Calibri Light"/>
        </w:rPr>
        <w:t xml:space="preserve"> (Toronto)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May 1, 1990</w:t>
      </w:r>
    </w:p>
    <w:p w:rsidR="00C70156" w:rsidRPr="001E67A2" w:rsidRDefault="00C70156" w:rsidP="00C70156">
      <w:pPr>
        <w:rPr>
          <w:rFonts w:ascii="Calibri Light" w:hAnsi="Calibri Light"/>
        </w:rPr>
      </w:pPr>
    </w:p>
    <w:p w:rsidR="00C70156" w:rsidRPr="001E67A2" w:rsidRDefault="00C70156" w:rsidP="00C70156">
      <w:pPr>
        <w:rPr>
          <w:rFonts w:ascii="Calibri Light" w:hAnsi="Calibri Light"/>
        </w:rPr>
      </w:pPr>
    </w:p>
    <w:p w:rsidR="00C70156" w:rsidRPr="001E67A2" w:rsidRDefault="00C70156" w:rsidP="00C70156">
      <w:pPr>
        <w:tabs>
          <w:tab w:val="left" w:pos="270"/>
        </w:tabs>
        <w:ind w:left="270" w:hanging="270"/>
        <w:jc w:val="both"/>
        <w:rPr>
          <w:rFonts w:ascii="Calibri Light" w:hAnsi="Calibri Light"/>
          <w:sz w:val="20"/>
        </w:rPr>
      </w:pPr>
      <w:r w:rsidRPr="001E67A2">
        <w:rPr>
          <w:rFonts w:ascii="Calibri Light" w:hAnsi="Calibri Light"/>
          <w:sz w:val="20"/>
        </w:rPr>
        <w:t>*</w:t>
      </w:r>
      <w:r w:rsidRPr="001E67A2">
        <w:rPr>
          <w:rFonts w:ascii="Calibri Light" w:hAnsi="Calibri Light"/>
          <w:sz w:val="20"/>
        </w:rPr>
        <w:tab/>
        <w:t xml:space="preserve">While </w:t>
      </w:r>
      <w:proofErr w:type="spellStart"/>
      <w:r w:rsidRPr="001E67A2">
        <w:rPr>
          <w:rFonts w:ascii="Calibri Light" w:hAnsi="Calibri Light"/>
          <w:sz w:val="20"/>
        </w:rPr>
        <w:t>Thackray</w:t>
      </w:r>
      <w:proofErr w:type="spellEnd"/>
      <w:r w:rsidRPr="001E67A2">
        <w:rPr>
          <w:rFonts w:ascii="Calibri Light" w:hAnsi="Calibri Light"/>
          <w:sz w:val="20"/>
        </w:rPr>
        <w:t xml:space="preserve"> Burgess did not formally </w:t>
      </w:r>
      <w:proofErr w:type="gramStart"/>
      <w:r w:rsidRPr="001E67A2">
        <w:rPr>
          <w:rFonts w:ascii="Calibri Light" w:hAnsi="Calibri Light"/>
          <w:sz w:val="20"/>
        </w:rPr>
        <w:t>merged</w:t>
      </w:r>
      <w:proofErr w:type="gramEnd"/>
      <w:r w:rsidRPr="001E67A2">
        <w:rPr>
          <w:rFonts w:ascii="Calibri Light" w:hAnsi="Calibri Light"/>
          <w:sz w:val="20"/>
        </w:rPr>
        <w:t xml:space="preserve"> with McMillan LLP, for the purpose of insurance, CLLAS considered this as a merger and recognized </w:t>
      </w:r>
      <w:proofErr w:type="spellStart"/>
      <w:r w:rsidRPr="001E67A2">
        <w:rPr>
          <w:rFonts w:ascii="Calibri Light" w:hAnsi="Calibri Light"/>
          <w:sz w:val="20"/>
        </w:rPr>
        <w:t>Thackray</w:t>
      </w:r>
      <w:proofErr w:type="spellEnd"/>
      <w:r w:rsidRPr="001E67A2">
        <w:rPr>
          <w:rFonts w:ascii="Calibri Light" w:hAnsi="Calibri Light"/>
          <w:sz w:val="20"/>
        </w:rPr>
        <w:t xml:space="preserve"> Burgess as a predecessor firm.  McMillan offered employment to certain former </w:t>
      </w:r>
      <w:proofErr w:type="spellStart"/>
      <w:r w:rsidRPr="001E67A2">
        <w:rPr>
          <w:rFonts w:ascii="Calibri Light" w:hAnsi="Calibri Light"/>
          <w:sz w:val="20"/>
        </w:rPr>
        <w:t>Thackray</w:t>
      </w:r>
      <w:proofErr w:type="spellEnd"/>
      <w:r w:rsidRPr="001E67A2">
        <w:rPr>
          <w:rFonts w:ascii="Calibri Light" w:hAnsi="Calibri Light"/>
          <w:sz w:val="20"/>
        </w:rPr>
        <w:t xml:space="preserve"> Burgess lawyers and certain other lawyers from that firm became partners at McMillan.  </w:t>
      </w:r>
    </w:p>
    <w:p w:rsidR="00C70156" w:rsidRPr="001E67A2" w:rsidRDefault="00C70156" w:rsidP="00C70156">
      <w:pPr>
        <w:rPr>
          <w:rFonts w:ascii="Calibri Light" w:hAnsi="Calibri Light"/>
          <w:sz w:val="20"/>
        </w:rPr>
      </w:pPr>
    </w:p>
    <w:p w:rsidR="00C70156" w:rsidRPr="001E67A2" w:rsidRDefault="00C70156" w:rsidP="00C70156">
      <w:pPr>
        <w:pStyle w:val="BodyTextIndent"/>
        <w:tabs>
          <w:tab w:val="left" w:pos="630"/>
        </w:tabs>
        <w:ind w:left="630" w:hanging="63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Note:</w:t>
      </w:r>
      <w:r w:rsidRPr="001E67A2">
        <w:rPr>
          <w:rFonts w:ascii="Calibri Light" w:hAnsi="Calibri Light"/>
          <w:b w:val="0"/>
          <w:i w:val="0"/>
          <w:sz w:val="20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7A46BB" w:rsidRDefault="00C70156">
      <w:bookmarkStart w:id="1" w:name="_GoBack"/>
      <w:bookmarkEnd w:id="0"/>
      <w:bookmarkEnd w:id="1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56"/>
    <w:rsid w:val="007C0D8E"/>
    <w:rsid w:val="00BF66B5"/>
    <w:rsid w:val="00C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ABE0B-6511-4D75-9169-A3FEF2B8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156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70156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C70156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C70156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C70156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2018-03-05T14:34:00Z</dcterms:created>
  <dcterms:modified xsi:type="dcterms:W3CDTF">2018-03-05T14:34:00Z</dcterms:modified>
</cp:coreProperties>
</file>